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ind w:left="0" w:firstLine="0" w:right="0"/>
        <w:contextualSpacing w:val="0"/>
        <w:jc w:val="center"/>
      </w:pPr>
      <w:r w:rsidRPr="00000000" w:rsidR="00000000" w:rsidDel="00000000">
        <w:rPr>
          <w:b w:val="1"/>
          <w:rtl w:val="0"/>
        </w:rPr>
        <w:t xml:space="preserve">Rubric for Language of the Discipline Bubble– 8</w:t>
      </w:r>
      <w:r w:rsidRPr="00000000" w:rsidR="00000000" w:rsidDel="00000000">
        <w:rPr>
          <w:b w:val="1"/>
          <w:vertAlign w:val="superscript"/>
          <w:rtl w:val="0"/>
        </w:rPr>
        <w:t xml:space="preserve">th</w:t>
      </w:r>
      <w:r w:rsidRPr="00000000" w:rsidR="00000000" w:rsidDel="00000000">
        <w:rPr>
          <w:b w:val="1"/>
          <w:rtl w:val="0"/>
        </w:rPr>
        <w:t xml:space="preserve"> grade</w:t>
      </w:r>
      <w:r w:rsidRPr="00000000" w:rsidR="00000000" w:rsidDel="00000000">
        <w:rPr>
          <w:rtl w:val="0"/>
        </w:rPr>
      </w:r>
    </w:p>
    <w:tbl>
      <w:tblPr>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596"/>
        <w:gridCol w:w="1596"/>
        <w:gridCol w:w="1596"/>
        <w:gridCol w:w="1596"/>
        <w:gridCol w:w="1596"/>
        <w:gridCol w:w="1596"/>
        <w:gridCol w:w="-36"/>
        <w:gridCol w:w="-36"/>
        <w:gridCol w:w="-36"/>
        <w:gridCol w:w="-36"/>
        <w:gridCol w:w="-36"/>
        <w:gridCol w:w="-36"/>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0</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1</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2</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3</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t xml:space="preserve">4</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Size of words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All of the words are the same size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Words are different sizes but student cannot explain why.</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Words are different sizes and student has some understanding of why he or she chose to make some bigger than others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Words are different sizes and student has good understanding of why he or she chose to make some bigger than others.</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Most critical words are the biggest, words of “medium” importance are smaller and those with the least significance are smallest. Student can explain his or her thought process in deciding which to make big and which to make small.</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Number of Words Included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Less than 20</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20-39</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40-59</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60-79</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80-100</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Creativity</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All one color. No shape. Meaningless font.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Colorful but no shape.  Meaningless font.</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Colorful with relevant font.  No shape or template from program.</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Colorful.  Relevant font.  Interesting shape from template in program.</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bookmarkStart w:id="0" w:colFirst="0" w:name="h.gjdgxs" w:colLast="0"/>
            <w:bookmarkEnd w:id="0"/>
            <w:r w:rsidRPr="00000000" w:rsidR="00000000" w:rsidDel="00000000">
              <w:rPr>
                <w:sz w:val="18"/>
                <w:rtl w:val="0"/>
              </w:rPr>
              <w:t xml:space="preserve">Colorful, Relevant font, shape related to career choice (ex: chef hat), custom shape not template in program.</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Deadline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4 days late</w:t>
            </w:r>
          </w:p>
          <w:p w:rsidP="00000000" w:rsidRPr="00000000" w:rsidR="00000000" w:rsidDel="00000000" w:rsidRDefault="00000000">
            <w:pPr>
              <w:spacing w:lineRule="auto" w:after="0" w:line="240"/>
              <w:contextualSpacing w:val="0"/>
            </w:pPr>
            <w:r w:rsidRPr="00000000" w:rsidR="00000000" w:rsidDel="00000000">
              <w:rPr>
                <w:sz w:val="18"/>
                <w:rtl w:val="0"/>
              </w:rPr>
              <w:t xml:space="preserve">After 4 days this project will not be accepted.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3 days late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2 days late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1 day late</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On time</w:t>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Sharing With the World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Cloud not posted.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Final cloud is posted somewhere in the school that FEW students, faculty and staff will have a chance to see it.  Your name is signed onto your cloud.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Final cloud is posted somewhere in the school that SOME students, faculty and staff will have a chance to see it.  Your name is signed onto your cloud.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Final cloud is posted somewhere in the school that MOST students, faculty and staff will have a chance to see it.  Your name is signed onto your cloud.</w:t>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sz w:val="18"/>
                <w:rtl w:val="0"/>
              </w:rPr>
              <w:t xml:space="preserve">Final cloud is posted somewhere in the school that MOST students, faculty and staff will have a chance to see it.  Your name is signed onto your cloud with quote: I KNOW WHAT THESE WORDS MEAN.  ASK ME.</w:t>
            </w:r>
          </w:p>
        </w:tc>
      </w:tr>
    </w:tbl>
    <w:p w:rsidP="00000000" w:rsidRPr="00000000" w:rsidR="00000000" w:rsidDel="00000000" w:rsidRDefault="00000000">
      <w:pPr>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RUBRIC LANGUAGE OF DISCIPLINE.docx</dc:title>
</cp:coreProperties>
</file>